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52" w:rsidRPr="00476E0B" w:rsidRDefault="002A1052" w:rsidP="00476E0B">
      <w:pPr>
        <w:jc w:val="center"/>
        <w:rPr>
          <w:rFonts w:ascii="Comic Sans MS" w:eastAsia="Times New Roman" w:hAnsi="Comic Sans MS"/>
          <w:b/>
          <w:color w:val="002060"/>
          <w:sz w:val="36"/>
          <w:szCs w:val="36"/>
        </w:rPr>
      </w:pPr>
      <w:r w:rsidRPr="00476E0B">
        <w:rPr>
          <w:rFonts w:ascii="Comic Sans MS" w:eastAsia="Times New Roman" w:hAnsi="Comic Sans MS"/>
          <w:b/>
          <w:color w:val="002060"/>
          <w:sz w:val="36"/>
          <w:szCs w:val="36"/>
        </w:rPr>
        <w:t>Консультация</w:t>
      </w:r>
      <w:r w:rsidR="00476E0B" w:rsidRPr="00476E0B">
        <w:rPr>
          <w:rFonts w:ascii="Comic Sans MS" w:eastAsia="Times New Roman" w:hAnsi="Comic Sans MS"/>
          <w:b/>
          <w:color w:val="002060"/>
          <w:sz w:val="36"/>
          <w:szCs w:val="36"/>
        </w:rPr>
        <w:t xml:space="preserve"> для педагогов ДОУ</w:t>
      </w:r>
    </w:p>
    <w:p w:rsidR="002A1052" w:rsidRPr="00476E0B" w:rsidRDefault="002A1052" w:rsidP="00476E0B">
      <w:pPr>
        <w:jc w:val="center"/>
        <w:rPr>
          <w:rFonts w:ascii="Comic Sans MS" w:eastAsia="Times New Roman" w:hAnsi="Comic Sans MS"/>
          <w:b/>
          <w:color w:val="002060"/>
          <w:sz w:val="48"/>
          <w:szCs w:val="48"/>
        </w:rPr>
      </w:pPr>
      <w:r w:rsidRPr="00476E0B">
        <w:rPr>
          <w:rFonts w:ascii="Comic Sans MS" w:eastAsia="Times New Roman" w:hAnsi="Comic Sans MS"/>
          <w:b/>
          <w:color w:val="002060"/>
          <w:sz w:val="48"/>
          <w:szCs w:val="48"/>
        </w:rPr>
        <w:t>«Организация непосредственно образовательной деятельности</w:t>
      </w:r>
      <w:r w:rsidR="00476E0B">
        <w:rPr>
          <w:rFonts w:ascii="Comic Sans MS" w:eastAsia="Times New Roman" w:hAnsi="Comic Sans MS"/>
          <w:b/>
          <w:color w:val="002060"/>
          <w:sz w:val="48"/>
          <w:szCs w:val="48"/>
        </w:rPr>
        <w:t xml:space="preserve"> </w:t>
      </w:r>
      <w:r w:rsidRPr="00476E0B">
        <w:rPr>
          <w:rFonts w:ascii="Comic Sans MS" w:eastAsia="Times New Roman" w:hAnsi="Comic Sans MS"/>
          <w:b/>
          <w:color w:val="002060"/>
          <w:sz w:val="48"/>
          <w:szCs w:val="48"/>
        </w:rPr>
        <w:t>в соответствии с ФГОС  </w:t>
      </w:r>
      <w:proofErr w:type="gramStart"/>
      <w:r w:rsidRPr="00476E0B">
        <w:rPr>
          <w:rFonts w:ascii="Comic Sans MS" w:eastAsia="Times New Roman" w:hAnsi="Comic Sans MS"/>
          <w:b/>
          <w:color w:val="002060"/>
          <w:sz w:val="48"/>
          <w:szCs w:val="48"/>
        </w:rPr>
        <w:t>ДО</w:t>
      </w:r>
      <w:proofErr w:type="gramEnd"/>
      <w:r w:rsidRPr="00476E0B">
        <w:rPr>
          <w:rFonts w:ascii="Comic Sans MS" w:eastAsia="Times New Roman" w:hAnsi="Comic Sans MS"/>
          <w:b/>
          <w:color w:val="002060"/>
          <w:sz w:val="48"/>
          <w:szCs w:val="48"/>
        </w:rPr>
        <w:t>»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Непосредственно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Согласно теории Л.С. </w:t>
      </w:r>
      <w:proofErr w:type="spellStart"/>
      <w:r w:rsidRPr="00476E0B">
        <w:rPr>
          <w:rFonts w:ascii="Georgia" w:eastAsia="Times New Roman" w:hAnsi="Georgia"/>
          <w:sz w:val="24"/>
          <w:szCs w:val="24"/>
        </w:rPr>
        <w:t>Выготского</w:t>
      </w:r>
      <w:proofErr w:type="spellEnd"/>
      <w:r w:rsidRPr="00476E0B">
        <w:rPr>
          <w:rFonts w:ascii="Georgia" w:eastAsia="Times New Roman" w:hAnsi="Georgia"/>
          <w:sz w:val="24"/>
          <w:szCs w:val="24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476E0B">
        <w:rPr>
          <w:rFonts w:ascii="Georgia" w:eastAsia="Times New Roman" w:hAnsi="Georgia"/>
          <w:sz w:val="24"/>
          <w:szCs w:val="24"/>
        </w:rPr>
        <w:t>деятельностные</w:t>
      </w:r>
      <w:proofErr w:type="spellEnd"/>
      <w:r w:rsidRPr="00476E0B">
        <w:rPr>
          <w:rFonts w:ascii="Georgia" w:eastAsia="Times New Roman" w:hAnsi="Georgia"/>
          <w:sz w:val="24"/>
          <w:szCs w:val="24"/>
        </w:rPr>
        <w:t xml:space="preserve">  формы и обладают соответствующим содержанием.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  В ФГОС содержится указание на то, какие виды деятельности можно считать приемлемыми формами практики для ребенка дошкольного возраста: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proofErr w:type="gramStart"/>
      <w:r w:rsidRPr="00476E0B">
        <w:rPr>
          <w:rFonts w:ascii="Georgia" w:eastAsia="Times New Roman" w:hAnsi="Georgia"/>
          <w:sz w:val="24"/>
          <w:szCs w:val="24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 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со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  <w:proofErr w:type="gramEnd"/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 Схема развития любого вида деятельности такова: сначала она осуществляется в совместной деятельности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со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взрослым, затем в совместной деятельности со сверстниками и становится самодеятельностью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 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lastRenderedPageBreak/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 обстановке, ориентированной на ребенка, дети: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•  делают выбор;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•  активно играют;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•  используют материалы, которым можно найти более чем одно применение;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•   работают все вместе и заботятся друг о друге;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•   отвечают за свои поступки.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10147" w:type="dxa"/>
        <w:tblCellSpacing w:w="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10147"/>
      </w:tblGrid>
      <w:tr w:rsidR="002A1052" w:rsidRPr="00476E0B" w:rsidTr="002A1052">
        <w:trPr>
          <w:trHeight w:val="675"/>
          <w:tblCellSpacing w:w="0" w:type="dxa"/>
        </w:trPr>
        <w:tc>
          <w:tcPr>
            <w:tcW w:w="10147" w:type="dxa"/>
            <w:vAlign w:val="center"/>
            <w:hideMark/>
          </w:tcPr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bookmarkStart w:id="0" w:name="0"/>
            <w:bookmarkStart w:id="1" w:name="38d619243e568a3e7a0c2a4f242047abc6a397f4"/>
            <w:bookmarkEnd w:id="0"/>
            <w:bookmarkEnd w:id="1"/>
            <w:r w:rsidRPr="00476E0B">
              <w:rPr>
                <w:rFonts w:ascii="Georgia" w:eastAsia="Times New Roman" w:hAnsi="Georgia"/>
                <w:sz w:val="24"/>
                <w:szCs w:val="24"/>
              </w:rPr>
              <w:t>Как продемонстрировать детям свое уважение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Всегда называйте детей по имени.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Говорите индивидуально с каждым ребенком так часто, как это только возможно.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• При разговоре находитесь на одном уровне с ребенком: 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   опускайтесь на корточки или садитесь на низкий  стул.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Слушайте, что говорит вам ребенок, и отвечайте ему.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Если вы пообещали детям, что вы что-то сделаете для них позднее, не забудьте сделать это.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Выражайте искреннее восхищение результатами работы детей.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Дайте детям возможность рассказывать другим о своей работе и своих интересах.</w:t>
            </w:r>
          </w:p>
          <w:p w:rsidR="002A1052" w:rsidRPr="00476E0B" w:rsidRDefault="002A1052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• Используйте идеи и предложения детей и благодарите их за помощь</w:t>
            </w:r>
          </w:p>
        </w:tc>
      </w:tr>
    </w:tbl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lastRenderedPageBreak/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Понять, что значит быть партнером детей, легче всего, сопоставив эти две позиции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Сравнительная характеристика особенностей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 xml:space="preserve"> :</w:t>
      </w:r>
      <w:proofErr w:type="gramEnd"/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партнерской и учительской позиций</w:t>
      </w:r>
    </w:p>
    <w:tbl>
      <w:tblPr>
        <w:tblW w:w="473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95"/>
        <w:gridCol w:w="3602"/>
        <w:gridCol w:w="3287"/>
      </w:tblGrid>
      <w:tr w:rsidR="001E556C" w:rsidRPr="00476E0B" w:rsidTr="00167C9D">
        <w:trPr>
          <w:trHeight w:val="1196"/>
          <w:tblCellSpacing w:w="0" w:type="dxa"/>
        </w:trPr>
        <w:tc>
          <w:tcPr>
            <w:tcW w:w="1123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bookmarkStart w:id="2" w:name="1"/>
            <w:bookmarkStart w:id="3" w:name="228a354711881f07a3e29b6a4d934fa4636914c3"/>
            <w:bookmarkEnd w:id="2"/>
            <w:bookmarkEnd w:id="3"/>
            <w:r w:rsidRPr="00476E0B">
              <w:rPr>
                <w:rFonts w:ascii="Georgia" w:eastAsia="Times New Roman" w:hAnsi="Georgia"/>
                <w:sz w:val="24"/>
                <w:szCs w:val="24"/>
              </w:rPr>
              <w:t>Характеризуемые объекты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1E556C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        </w:t>
            </w:r>
            <w:r w:rsidR="002A1052" w:rsidRPr="00476E0B">
              <w:rPr>
                <w:rFonts w:ascii="Georgia" w:eastAsia="Times New Roman" w:hAnsi="Georgia"/>
                <w:sz w:val="24"/>
                <w:szCs w:val="24"/>
              </w:rPr>
              <w:t>Партнерская форма</w:t>
            </w: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 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1E556C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          </w:t>
            </w:r>
            <w:r w:rsidR="002A1052" w:rsidRPr="00476E0B">
              <w:rPr>
                <w:rFonts w:ascii="Georgia" w:eastAsia="Times New Roman" w:hAnsi="Georgia"/>
                <w:sz w:val="24"/>
                <w:szCs w:val="24"/>
              </w:rPr>
              <w:t>Школьно-урочная форма</w:t>
            </w:r>
          </w:p>
        </w:tc>
      </w:tr>
      <w:tr w:rsidR="001E556C" w:rsidRPr="00476E0B" w:rsidTr="00167C9D">
        <w:trPr>
          <w:trHeight w:val="1819"/>
          <w:tblCellSpacing w:w="0" w:type="dxa"/>
        </w:trPr>
        <w:tc>
          <w:tcPr>
            <w:tcW w:w="1123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Понятие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Партнер - всегда равноправный участник дела и как таковой связан с другими взаимным уважением 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Учитель – это руководитель, </w:t>
            </w:r>
            <w:proofErr w:type="spellStart"/>
            <w:r w:rsidRPr="00476E0B">
              <w:rPr>
                <w:rFonts w:ascii="Georgia" w:eastAsia="Times New Roman" w:hAnsi="Georgia"/>
                <w:sz w:val="24"/>
                <w:szCs w:val="24"/>
              </w:rPr>
              <w:t>регламентатор</w:t>
            </w:r>
            <w:proofErr w:type="spellEnd"/>
            <w:r w:rsidRPr="00476E0B">
              <w:rPr>
                <w:rFonts w:ascii="Georgia" w:eastAsia="Times New Roman" w:hAnsi="Georgia"/>
                <w:sz w:val="24"/>
                <w:szCs w:val="24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1E556C" w:rsidRPr="00476E0B" w:rsidTr="00167C9D">
        <w:trPr>
          <w:trHeight w:val="3380"/>
          <w:tblCellSpacing w:w="0" w:type="dxa"/>
        </w:trPr>
        <w:tc>
          <w:tcPr>
            <w:tcW w:w="1123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Позиция взрослого в пространстве группы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Взрослый – учитель, отдален от детей, вне круга, противостоит детям, над ними</w:t>
            </w:r>
          </w:p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(например, за письменным столом как на школьном уроке)</w:t>
            </w:r>
          </w:p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 </w:t>
            </w:r>
            <w:proofErr w:type="gramEnd"/>
          </w:p>
        </w:tc>
      </w:tr>
      <w:tr w:rsidR="001E556C" w:rsidRPr="00476E0B" w:rsidTr="00167C9D">
        <w:trPr>
          <w:trHeight w:val="2541"/>
          <w:tblCellSpacing w:w="0" w:type="dxa"/>
        </w:trPr>
        <w:tc>
          <w:tcPr>
            <w:tcW w:w="1123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1E556C" w:rsidRPr="00476E0B" w:rsidTr="00167C9D">
        <w:trPr>
          <w:trHeight w:val="2675"/>
          <w:tblCellSpacing w:w="0" w:type="dxa"/>
        </w:trPr>
        <w:tc>
          <w:tcPr>
            <w:tcW w:w="1123" w:type="pct"/>
            <w:vAlign w:val="center"/>
            <w:hideMark/>
          </w:tcPr>
          <w:p w:rsidR="001E556C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lastRenderedPageBreak/>
              <w:t>Степень</w:t>
            </w:r>
          </w:p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свободы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Свободное размещение детей и перемещение в процессе деятельности.</w:t>
            </w:r>
          </w:p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Разрешено свободное общение (рабочий гул)</w:t>
            </w:r>
          </w:p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Дети могут обсуждать работу, задавать друг другу вопросы и т.п.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Жесткое закрепление рабочих мест, запрет на перемещение.</w:t>
            </w:r>
          </w:p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1E556C" w:rsidRPr="00476E0B" w:rsidTr="00167C9D">
        <w:trPr>
          <w:trHeight w:val="2541"/>
          <w:tblCellSpacing w:w="0" w:type="dxa"/>
        </w:trPr>
        <w:tc>
          <w:tcPr>
            <w:tcW w:w="1123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42" w:right="312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«Чреватость» позиции воспитателя</w:t>
            </w:r>
          </w:p>
        </w:tc>
        <w:tc>
          <w:tcPr>
            <w:tcW w:w="2027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132" w:right="332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1850" w:type="pct"/>
            <w:vAlign w:val="center"/>
            <w:hideMark/>
          </w:tcPr>
          <w:p w:rsidR="002A1052" w:rsidRPr="00476E0B" w:rsidRDefault="002A1052" w:rsidP="00167C9D">
            <w:pPr>
              <w:spacing w:after="0" w:line="240" w:lineRule="auto"/>
              <w:ind w:left="215" w:right="359" w:hanging="21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33166E" w:rsidRPr="00476E0B" w:rsidRDefault="0033166E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476E0B" w:rsidRPr="00476E0B" w:rsidRDefault="00476E0B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tbl>
      <w:tblPr>
        <w:tblpPr w:leftFromText="180" w:rightFromText="180" w:vertAnchor="text" w:horzAnchor="margin" w:tblpX="-416" w:tblpY="4"/>
        <w:tblW w:w="522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6"/>
        <w:gridCol w:w="2553"/>
        <w:gridCol w:w="6675"/>
      </w:tblGrid>
      <w:tr w:rsidR="007E64EE" w:rsidRPr="00476E0B" w:rsidTr="00476E0B">
        <w:trPr>
          <w:trHeight w:val="690"/>
          <w:tblCellSpacing w:w="0" w:type="dxa"/>
        </w:trPr>
        <w:tc>
          <w:tcPr>
            <w:tcW w:w="29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 </w:t>
            </w:r>
          </w:p>
        </w:tc>
        <w:tc>
          <w:tcPr>
            <w:tcW w:w="1302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9" w:right="274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Этапы непосредственно образовательной деятельности</w:t>
            </w:r>
          </w:p>
        </w:tc>
        <w:tc>
          <w:tcPr>
            <w:tcW w:w="340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Характеристика действий</w:t>
            </w:r>
          </w:p>
        </w:tc>
      </w:tr>
      <w:tr w:rsidR="007E64EE" w:rsidRPr="00476E0B" w:rsidTr="00476E0B">
        <w:trPr>
          <w:trHeight w:val="690"/>
          <w:tblCellSpacing w:w="0" w:type="dxa"/>
        </w:trPr>
        <w:tc>
          <w:tcPr>
            <w:tcW w:w="29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1.</w:t>
            </w:r>
          </w:p>
        </w:tc>
        <w:tc>
          <w:tcPr>
            <w:tcW w:w="1302" w:type="pct"/>
            <w:vAlign w:val="center"/>
            <w:hideMark/>
          </w:tcPr>
          <w:p w:rsidR="007E64EE" w:rsidRPr="00476E0B" w:rsidRDefault="00476E0B" w:rsidP="00476E0B">
            <w:pPr>
              <w:spacing w:after="0" w:line="240" w:lineRule="auto"/>
              <w:ind w:left="133" w:right="274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Начальн</w:t>
            </w:r>
            <w:r w:rsidR="007E64EE" w:rsidRPr="00476E0B">
              <w:rPr>
                <w:rFonts w:ascii="Georgia" w:eastAsia="Times New Roman" w:hAnsi="Georgia"/>
                <w:sz w:val="24"/>
                <w:szCs w:val="24"/>
              </w:rPr>
              <w:t>ый этап деятельности</w:t>
            </w:r>
          </w:p>
        </w:tc>
        <w:tc>
          <w:tcPr>
            <w:tcW w:w="340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32" w:right="428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Воспитатель приглашает к деятельности – необязательной, непринужденной: </w:t>
            </w: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>«Давайте сегодня…, Кто хочет, устраивайтесь по удобнее…» (или:</w:t>
            </w:r>
            <w:proofErr w:type="gramEnd"/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«Я </w:t>
            </w: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>буду</w:t>
            </w:r>
            <w:proofErr w:type="gramEnd"/>
            <w:r w:rsidRPr="00476E0B">
              <w:rPr>
                <w:rFonts w:ascii="Georgia" w:eastAsia="Times New Roman" w:hAnsi="Georgia"/>
                <w:sz w:val="24"/>
                <w:szCs w:val="24"/>
              </w:rPr>
              <w:t>…Кто хочет, присоединяйтесь…».</w:t>
            </w:r>
          </w:p>
          <w:p w:rsidR="007E64EE" w:rsidRPr="00476E0B" w:rsidRDefault="007E64EE" w:rsidP="00476E0B">
            <w:pPr>
              <w:spacing w:after="0" w:line="240" w:lineRule="auto"/>
              <w:ind w:left="132" w:right="428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Наметив задачу для совместного выполнения, воспитатель, как               равноправный участник, предлагает возможные способы ее реализации.</w:t>
            </w:r>
          </w:p>
        </w:tc>
      </w:tr>
      <w:tr w:rsidR="007E64EE" w:rsidRPr="00476E0B" w:rsidTr="00476E0B">
        <w:trPr>
          <w:trHeight w:val="690"/>
          <w:tblCellSpacing w:w="0" w:type="dxa"/>
        </w:trPr>
        <w:tc>
          <w:tcPr>
            <w:tcW w:w="29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2.</w:t>
            </w:r>
          </w:p>
        </w:tc>
        <w:tc>
          <w:tcPr>
            <w:tcW w:w="1302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275" w:right="27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 ходе процесса деятельности</w:t>
            </w:r>
          </w:p>
        </w:tc>
        <w:tc>
          <w:tcPr>
            <w:tcW w:w="340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32" w:right="428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7E64EE" w:rsidRPr="00476E0B" w:rsidTr="00476E0B">
        <w:trPr>
          <w:trHeight w:val="690"/>
          <w:tblCellSpacing w:w="0" w:type="dxa"/>
        </w:trPr>
        <w:tc>
          <w:tcPr>
            <w:tcW w:w="29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-709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3.</w:t>
            </w:r>
          </w:p>
        </w:tc>
        <w:tc>
          <w:tcPr>
            <w:tcW w:w="1302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275" w:right="274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Заключительный этап деятельности</w:t>
            </w:r>
          </w:p>
        </w:tc>
        <w:tc>
          <w:tcPr>
            <w:tcW w:w="3404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32" w:right="428" w:firstLine="709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7E64EE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lastRenderedPageBreak/>
        <w:t>     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 На разных этапах непосредственно образовательной деятельности партнерская позиция воспитателя проявляется особым образом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Проявление партнерской позиции воспитателя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на разных этапах непосредственно образовательной деятельности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bookmarkStart w:id="4" w:name="2"/>
      <w:bookmarkStart w:id="5" w:name="01a654a429ba0ca4a41d3c7fac4ac030f996b381"/>
      <w:bookmarkEnd w:id="4"/>
      <w:bookmarkEnd w:id="5"/>
      <w:r w:rsidRPr="00476E0B">
        <w:rPr>
          <w:rFonts w:ascii="Georgia" w:eastAsia="Times New Roman" w:hAnsi="Georgia"/>
          <w:sz w:val="24"/>
          <w:szCs w:val="24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включенность взрослого в деятельность наравне с детьми;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добровольное присоединение детей к деятельности (без психологического и дисциплинарного принуждения);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открытый временной конец непосредственно образовательной деятельности (каждый работает в своем темпе)</w:t>
      </w:r>
    </w:p>
    <w:p w:rsidR="007E64EE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 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к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нем детей просто не возникает.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 Когда педагог становится партнером ребенка, а значит равноправным участником общей работы, в результате меняются: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– стиль поведения взрослого (от административно-регламентирующего к непринужденно-</w:t>
      </w:r>
      <w:r w:rsidR="007E64EE" w:rsidRPr="00476E0B">
        <w:rPr>
          <w:rFonts w:ascii="Georgia" w:eastAsia="Times New Roman" w:hAnsi="Georgia"/>
          <w:sz w:val="24"/>
          <w:szCs w:val="24"/>
        </w:rPr>
        <w:t xml:space="preserve"> 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доверительному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>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Непосредственная мотивация в дошкольном возрасте намного сильнее, чем широкие социальные мотивы поведения. Отсюда главным принципом воспитательной </w:t>
      </w:r>
      <w:r w:rsidRPr="00476E0B">
        <w:rPr>
          <w:rFonts w:ascii="Georgia" w:eastAsia="Times New Roman" w:hAnsi="Georgia"/>
          <w:sz w:val="24"/>
          <w:szCs w:val="24"/>
        </w:rPr>
        <w:lastRenderedPageBreak/>
        <w:t xml:space="preserve">работы с дошкольниками (не говоря уже о детях раннего возраста) должен быть принцип заинтересованности ребенка.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В дошкольном возрасте непосредственная мотивация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обусловливается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прежде всего потребностью в новых впечатлениях. 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Результаты продуктивной самостоятельной деятельности, точно также как и совместной, необходимо доводить до состояния выставочных работ.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Примерные формы организации</w:t>
      </w:r>
    </w:p>
    <w:tbl>
      <w:tblPr>
        <w:tblpPr w:leftFromText="180" w:rightFromText="180" w:vertAnchor="text" w:horzAnchor="margin" w:tblpXSpec="center" w:tblpY="408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24"/>
        <w:gridCol w:w="5151"/>
      </w:tblGrid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2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Детская деятельность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375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Примеры форм работы</w:t>
            </w:r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42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Двигательная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238" w:right="424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42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Игровая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238" w:right="424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</w:t>
            </w: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>игры</w:t>
            </w:r>
            <w:proofErr w:type="gramEnd"/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476E0B">
              <w:rPr>
                <w:rFonts w:ascii="Georgia" w:eastAsia="Times New Roman" w:hAnsi="Georgia"/>
                <w:sz w:val="24"/>
                <w:szCs w:val="24"/>
              </w:rPr>
              <w:lastRenderedPageBreak/>
              <w:t>*Театрализованные игры</w:t>
            </w:r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42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lastRenderedPageBreak/>
              <w:t xml:space="preserve">Изобразительная </w:t>
            </w:r>
          </w:p>
          <w:p w:rsidR="007E64EE" w:rsidRPr="00476E0B" w:rsidRDefault="007E64EE" w:rsidP="00476E0B">
            <w:pPr>
              <w:spacing w:after="0" w:line="240" w:lineRule="auto"/>
              <w:ind w:left="142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и Конструирование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238" w:right="424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142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Восприятие  художественной литературы и фольклора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54" w:right="56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26" w:right="330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54" w:right="56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  <w:proofErr w:type="gramEnd"/>
          </w:p>
        </w:tc>
      </w:tr>
      <w:tr w:rsidR="007E64EE" w:rsidRPr="00476E0B" w:rsidTr="00476E0B">
        <w:trPr>
          <w:trHeight w:val="747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26" w:right="330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Коммуникативная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54" w:right="56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</w:t>
            </w:r>
            <w:proofErr w:type="spellStart"/>
            <w:r w:rsidRPr="00476E0B">
              <w:rPr>
                <w:rFonts w:ascii="Georgia" w:eastAsia="Times New Roman" w:hAnsi="Georgia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7E64EE" w:rsidRPr="00476E0B" w:rsidTr="00167C9D">
        <w:trPr>
          <w:trHeight w:val="1606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26" w:right="330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54" w:right="56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7E64EE" w:rsidRPr="00476E0B" w:rsidTr="00476E0B">
        <w:trPr>
          <w:trHeight w:val="84"/>
          <w:tblCellSpacing w:w="0" w:type="dxa"/>
        </w:trPr>
        <w:tc>
          <w:tcPr>
            <w:tcW w:w="1539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26" w:right="330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proofErr w:type="gramStart"/>
            <w:r w:rsidRPr="00476E0B">
              <w:rPr>
                <w:rFonts w:ascii="Georgia" w:eastAsia="Times New Roman" w:hAnsi="Georgia"/>
                <w:sz w:val="24"/>
                <w:szCs w:val="24"/>
              </w:rPr>
              <w:t>Музыкальна</w:t>
            </w:r>
            <w:proofErr w:type="gramEnd"/>
            <w:r w:rsidRPr="00476E0B">
              <w:rPr>
                <w:rFonts w:ascii="Georgia" w:eastAsia="Times New Roman" w:hAnsi="Georgia"/>
                <w:sz w:val="24"/>
                <w:szCs w:val="24"/>
              </w:rPr>
              <w:t xml:space="preserve">  непосредственно образовательной деятельности </w:t>
            </w:r>
          </w:p>
          <w:p w:rsidR="007E64EE" w:rsidRPr="00476E0B" w:rsidRDefault="007E64EE" w:rsidP="00476E0B">
            <w:pPr>
              <w:spacing w:after="0" w:line="240" w:lineRule="auto"/>
              <w:ind w:left="426" w:right="330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  <w:hideMark/>
          </w:tcPr>
          <w:p w:rsidR="007E64EE" w:rsidRPr="00476E0B" w:rsidRDefault="007E64EE" w:rsidP="00476E0B">
            <w:pPr>
              <w:spacing w:after="0" w:line="240" w:lineRule="auto"/>
              <w:ind w:left="454" w:right="566" w:firstLine="406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476E0B">
              <w:rPr>
                <w:rFonts w:ascii="Georgia" w:eastAsia="Times New Roman" w:hAnsi="Georgia"/>
                <w:sz w:val="24"/>
                <w:szCs w:val="24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bookmarkStart w:id="6" w:name="3"/>
      <w:bookmarkStart w:id="7" w:name="6195c506b04768f8b1d5a7e33051e7bf0a814852"/>
      <w:bookmarkEnd w:id="6"/>
      <w:bookmarkEnd w:id="7"/>
      <w:r w:rsidRPr="00476E0B">
        <w:rPr>
          <w:rFonts w:ascii="Georgia" w:eastAsia="Times New Roman" w:hAnsi="Georgia"/>
          <w:sz w:val="24"/>
          <w:szCs w:val="24"/>
        </w:rPr>
        <w:t> 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Опираясь на характерную для старших дошкольников потребность в самоутверждении и признании со стороны взрослых, воспитатель обеспечивает условия </w:t>
      </w:r>
      <w:r w:rsidRPr="00476E0B">
        <w:rPr>
          <w:rFonts w:ascii="Georgia" w:eastAsia="Times New Roman" w:hAnsi="Georgia"/>
          <w:sz w:val="24"/>
          <w:szCs w:val="24"/>
        </w:rPr>
        <w:lastRenderedPageBreak/>
        <w:t>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Обязательным элементом образа жизни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в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старшей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и подготовительной группах является участие детей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в разрешении проблемных ситуаций,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 - в проведении элементарных опытов,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proofErr w:type="gramStart"/>
      <w:r w:rsidRPr="00476E0B">
        <w:rPr>
          <w:rFonts w:ascii="Georgia" w:eastAsia="Times New Roman" w:hAnsi="Georgia"/>
          <w:sz w:val="24"/>
          <w:szCs w:val="24"/>
        </w:rPr>
        <w:lastRenderedPageBreak/>
        <w:t>- в организации экспериментирования (с водой, снегом, воздухом, звуками, светом, магнитами, увеличительными стеклами и т. п.),</w:t>
      </w:r>
      <w:proofErr w:type="gramEnd"/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- в развивающих играх, головоломках, в изготовлении игрушек-самоделок, простейших механизмов и моделей.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обогащение представлений о предметах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быта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и их назначении: из </w:t>
      </w:r>
      <w:proofErr w:type="gramStart"/>
      <w:r w:rsidRPr="00476E0B">
        <w:rPr>
          <w:rFonts w:ascii="Georgia" w:eastAsia="Times New Roman" w:hAnsi="Georgia"/>
          <w:sz w:val="24"/>
          <w:szCs w:val="24"/>
        </w:rPr>
        <w:t>какой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освоение представлений о домашних животных - ситуация «Кот Василий и котенок Пух пришли проведать нашу Машеньку» (образовательная область «Познание»);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 w:cs="Arial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</w:t>
      </w:r>
      <w:r w:rsidRPr="00476E0B">
        <w:rPr>
          <w:rFonts w:ascii="Georgia" w:eastAsia="Times New Roman" w:hAnsi="Georgia"/>
          <w:sz w:val="24"/>
          <w:szCs w:val="24"/>
        </w:rPr>
        <w:lastRenderedPageBreak/>
        <w:t xml:space="preserve">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proofErr w:type="gramStart"/>
      <w:r w:rsidRPr="00476E0B">
        <w:rPr>
          <w:rFonts w:ascii="Georgia" w:eastAsia="Times New Roman" w:hAnsi="Georgia"/>
          <w:sz w:val="24"/>
          <w:szCs w:val="24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</w:t>
      </w:r>
      <w:proofErr w:type="gramEnd"/>
      <w:r w:rsidRPr="00476E0B">
        <w:rPr>
          <w:rFonts w:ascii="Georgia" w:eastAsia="Times New Roman" w:hAnsi="Georgia"/>
          <w:sz w:val="24"/>
          <w:szCs w:val="24"/>
        </w:rPr>
        <w:t xml:space="preserve">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Все это нужно для того, чтобы каждый день мотивировать детей на предстающую деятельность.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sz w:val="24"/>
          <w:szCs w:val="24"/>
        </w:rPr>
      </w:pPr>
      <w:r w:rsidRPr="00476E0B">
        <w:rPr>
          <w:rFonts w:ascii="Georgia" w:eastAsia="Times New Roman" w:hAnsi="Georgia"/>
          <w:b/>
          <w:sz w:val="24"/>
          <w:szCs w:val="24"/>
        </w:rPr>
        <w:t>Заключение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На настоящий момент необходимо акцентировать внимание на следующих принципах работы с детьми: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уход от жестко регламентированного обучения школьного типа;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обеспечение двигательной активности детей в различных формах;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использование цикличности и проектной организации содержания образования;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lastRenderedPageBreak/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476E0B">
        <w:rPr>
          <w:rFonts w:ascii="Georgia" w:eastAsia="Times New Roman" w:hAnsi="Georgia"/>
          <w:sz w:val="24"/>
          <w:szCs w:val="24"/>
        </w:rPr>
        <w:t>проблемности</w:t>
      </w:r>
      <w:proofErr w:type="spellEnd"/>
      <w:r w:rsidRPr="00476E0B">
        <w:rPr>
          <w:rFonts w:ascii="Georgia" w:eastAsia="Times New Roman" w:hAnsi="Georgia"/>
          <w:sz w:val="24"/>
          <w:szCs w:val="24"/>
        </w:rPr>
        <w:t xml:space="preserve">, задач открытого типа, имеющих разные варианты решений; 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широкое использование игровых приемов, игрушек; создание эмоционально значимых для детей ситуаций;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  <w:r w:rsidRPr="00476E0B">
        <w:rPr>
          <w:rFonts w:ascii="Georgia" w:eastAsia="Times New Roman" w:hAnsi="Georgia"/>
          <w:sz w:val="24"/>
          <w:szCs w:val="24"/>
        </w:rPr>
        <w:t>- формирование детского сообщества, обеспечивающего каждому ребенку чувство комфортности и успешности.</w:t>
      </w: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sz w:val="24"/>
          <w:szCs w:val="24"/>
        </w:rPr>
      </w:pPr>
    </w:p>
    <w:p w:rsidR="002A1052" w:rsidRPr="00476E0B" w:rsidRDefault="002A1052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sz w:val="24"/>
          <w:szCs w:val="24"/>
        </w:rPr>
      </w:pPr>
    </w:p>
    <w:p w:rsidR="00603A91" w:rsidRPr="00476E0B" w:rsidRDefault="00603A91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kern w:val="36"/>
          <w:sz w:val="24"/>
          <w:szCs w:val="24"/>
        </w:rPr>
      </w:pPr>
    </w:p>
    <w:p w:rsidR="00603A91" w:rsidRPr="00476E0B" w:rsidRDefault="00603A91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kern w:val="36"/>
          <w:sz w:val="24"/>
          <w:szCs w:val="24"/>
        </w:rPr>
      </w:pPr>
    </w:p>
    <w:p w:rsidR="00603A91" w:rsidRPr="00476E0B" w:rsidRDefault="00603A91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kern w:val="36"/>
          <w:sz w:val="24"/>
          <w:szCs w:val="24"/>
        </w:rPr>
      </w:pPr>
    </w:p>
    <w:p w:rsidR="00603A91" w:rsidRPr="00476E0B" w:rsidRDefault="00603A91" w:rsidP="00476E0B">
      <w:pPr>
        <w:spacing w:after="0" w:line="240" w:lineRule="auto"/>
        <w:ind w:left="-709" w:firstLine="709"/>
        <w:jc w:val="both"/>
        <w:rPr>
          <w:rFonts w:ascii="Georgia" w:eastAsia="Times New Roman" w:hAnsi="Georgia"/>
          <w:b/>
          <w:kern w:val="36"/>
          <w:sz w:val="24"/>
          <w:szCs w:val="24"/>
        </w:rPr>
      </w:pPr>
    </w:p>
    <w:sectPr w:rsidR="00603A91" w:rsidRPr="00476E0B" w:rsidSect="00476E0B">
      <w:pgSz w:w="11906" w:h="16838"/>
      <w:pgMar w:top="1134" w:right="850" w:bottom="1134" w:left="1701" w:header="708" w:footer="708" w:gutter="0"/>
      <w:pgBorders w:offsetFrom="page">
        <w:top w:val="triple" w:sz="4" w:space="24" w:color="0F243E" w:themeColor="text2" w:themeShade="80"/>
        <w:left w:val="triple" w:sz="4" w:space="24" w:color="0F243E" w:themeColor="text2" w:themeShade="80"/>
        <w:bottom w:val="triple" w:sz="4" w:space="24" w:color="0F243E" w:themeColor="text2" w:themeShade="80"/>
        <w:right w:val="trip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4F7"/>
    <w:multiLevelType w:val="hybridMultilevel"/>
    <w:tmpl w:val="6756D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F2014"/>
    <w:multiLevelType w:val="hybridMultilevel"/>
    <w:tmpl w:val="B92EC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D55A6"/>
    <w:multiLevelType w:val="hybridMultilevel"/>
    <w:tmpl w:val="FB2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30E5"/>
    <w:multiLevelType w:val="hybridMultilevel"/>
    <w:tmpl w:val="E3B40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1052"/>
    <w:rsid w:val="00167C9D"/>
    <w:rsid w:val="001E556C"/>
    <w:rsid w:val="001F1745"/>
    <w:rsid w:val="002A1052"/>
    <w:rsid w:val="0033166E"/>
    <w:rsid w:val="00476E0B"/>
    <w:rsid w:val="00497897"/>
    <w:rsid w:val="004B1231"/>
    <w:rsid w:val="00603A91"/>
    <w:rsid w:val="007030B1"/>
    <w:rsid w:val="007E64EE"/>
    <w:rsid w:val="008E409F"/>
    <w:rsid w:val="00B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1"/>
  </w:style>
  <w:style w:type="paragraph" w:styleId="1">
    <w:name w:val="heading 1"/>
    <w:basedOn w:val="a"/>
    <w:next w:val="a"/>
    <w:link w:val="10"/>
    <w:uiPriority w:val="9"/>
    <w:qFormat/>
    <w:rsid w:val="008E4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A1052"/>
  </w:style>
  <w:style w:type="paragraph" w:styleId="a3">
    <w:name w:val="No Spacing"/>
    <w:uiPriority w:val="1"/>
    <w:qFormat/>
    <w:rsid w:val="007E64E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E409F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8E4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E4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E4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E4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E4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4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3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Байлак</dc:creator>
  <cp:lastModifiedBy>Рассвет</cp:lastModifiedBy>
  <cp:revision>2</cp:revision>
  <dcterms:created xsi:type="dcterms:W3CDTF">2019-11-07T11:07:00Z</dcterms:created>
  <dcterms:modified xsi:type="dcterms:W3CDTF">2019-11-07T11:07:00Z</dcterms:modified>
</cp:coreProperties>
</file>